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B2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Environment (Wales) Act 2016 Part 1 –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Section 6</w:t>
      </w:r>
    </w:p>
    <w:p w14:paraId="0CF3A449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Biodiversity and Resilience of Ecosystems Duty</w:t>
      </w:r>
    </w:p>
    <w:p w14:paraId="79F235F8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0D66CD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2D9C1F" w14:textId="77777777" w:rsidR="003671AE" w:rsidRPr="003B789B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Reporting on Section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Reporting Template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Town and Community Councils</w:t>
      </w:r>
    </w:p>
    <w:p w14:paraId="35CAF5F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4B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8E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E5435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557C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8EA7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B93046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7DD20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F0611D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CA83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1C252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C9E62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8FBE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288A43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1115F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8591B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339DD3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3A960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9A2D04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6BD94D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040A9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183BAB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CB5FB05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Mae’r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ddogfen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yma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hefyd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ar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gael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Gymraeg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/ This document is also available in Welsh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0C6BB7E0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79C3AD" w14:textId="77777777" w:rsidR="003671AE" w:rsidRDefault="003671AE" w:rsidP="003671A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7E524532" w14:textId="77777777" w:rsidTr="006A501E">
        <w:tc>
          <w:tcPr>
            <w:tcW w:w="9322" w:type="dxa"/>
          </w:tcPr>
          <w:p w14:paraId="2954794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Environment (Wales) Act 2016 Part 1 - Section 6</w:t>
            </w:r>
          </w:p>
          <w:p w14:paraId="28BD3977" w14:textId="77777777" w:rsidR="003671AE" w:rsidRPr="002D7E92" w:rsidRDefault="003671AE" w:rsidP="00E31AF6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The Biodiversity and Resilience of Ecosystems Duty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Report 20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</w:tr>
      <w:tr w:rsidR="003671AE" w:rsidRPr="002D7E92" w14:paraId="6281FE34" w14:textId="77777777" w:rsidTr="006A501E">
        <w:tc>
          <w:tcPr>
            <w:tcW w:w="9322" w:type="dxa"/>
          </w:tcPr>
          <w:p w14:paraId="35358D7F" w14:textId="2FE73F63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Town or Community Council:</w:t>
            </w:r>
            <w:r w:rsidR="00305D7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05D7E" w:rsidRPr="00305D7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Reynoldston Community Council</w:t>
            </w:r>
          </w:p>
        </w:tc>
      </w:tr>
      <w:tr w:rsidR="003671AE" w:rsidRPr="002D7E92" w14:paraId="046C2772" w14:textId="77777777" w:rsidTr="006A501E">
        <w:tc>
          <w:tcPr>
            <w:tcW w:w="9322" w:type="dxa"/>
          </w:tcPr>
          <w:p w14:paraId="3001EC2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Introduction and Context</w:t>
            </w:r>
          </w:p>
          <w:p w14:paraId="54CD7726" w14:textId="77777777" w:rsidR="003671AE" w:rsidRPr="002D7E92" w:rsidRDefault="003671AE" w:rsidP="006A501E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hort description of </w:t>
            </w:r>
            <w:r>
              <w:rPr>
                <w:rFonts w:ascii="Arial" w:hAnsi="Arial" w:cs="Arial"/>
                <w:sz w:val="24"/>
                <w:szCs w:val="24"/>
              </w:rPr>
              <w:t>the Council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, its functions and context in relation to </w:t>
            </w:r>
          </w:p>
          <w:p w14:paraId="6960C49E" w14:textId="77777777" w:rsidR="003671AE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it could help 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biodiversity </w:t>
            </w:r>
            <w:r>
              <w:rPr>
                <w:rFonts w:ascii="Arial" w:hAnsi="Arial" w:cs="Arial"/>
                <w:sz w:val="24"/>
                <w:szCs w:val="24"/>
              </w:rPr>
              <w:t>(through functions with regard to land management, grant funding, education activities, for e.g.)</w:t>
            </w:r>
          </w:p>
          <w:p w14:paraId="4063DD1B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spatial scale and place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how much land does it cover, population, precept?)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262A60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>public service delivery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it subject to the Well-being </w:t>
            </w:r>
            <w:r w:rsidRPr="002D7E92">
              <w:rPr>
                <w:rFonts w:ascii="Arial" w:hAnsi="Arial" w:cs="Arial"/>
                <w:sz w:val="24"/>
                <w:szCs w:val="24"/>
              </w:rPr>
              <w:t>of Future Generations (WFG) Act</w:t>
            </w:r>
            <w:r>
              <w:rPr>
                <w:rFonts w:ascii="Arial" w:hAnsi="Arial" w:cs="Arial"/>
                <w:sz w:val="24"/>
                <w:szCs w:val="24"/>
              </w:rPr>
              <w:t>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383839" w14:textId="7D0047AF" w:rsidR="003671AE" w:rsidRDefault="003671AE" w:rsidP="006A501E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D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We are a small Community Council in the heart of Gower, an Area </w:t>
            </w:r>
            <w:proofErr w:type="gramStart"/>
            <w:r w:rsidR="00034D70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gramEnd"/>
            <w:r w:rsidR="00034D7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Outstanding Natural Beauty.  We own no buildings or land ourselves.  We maintain the grass levels on two “Village Greens” but do not own the land.  </w:t>
            </w:r>
          </w:p>
          <w:p w14:paraId="1D348F5A" w14:textId="5119E9F3" w:rsidR="00034D70" w:rsidRPr="00034D70" w:rsidRDefault="00034D70" w:rsidP="006A501E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Village Greens are regularly mowed by a Community Councillor to keep the grass levels acceptable but this is enhanced by the livestock we have roaming the Village, namely sheep, cattle and horses.</w:t>
            </w:r>
          </w:p>
        </w:tc>
      </w:tr>
      <w:tr w:rsidR="003671AE" w:rsidRPr="002D7E92" w14:paraId="5413ADA7" w14:textId="77777777" w:rsidTr="006A501E">
        <w:tc>
          <w:tcPr>
            <w:tcW w:w="9322" w:type="dxa"/>
          </w:tcPr>
          <w:p w14:paraId="4431F949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53A30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Action Report</w:t>
            </w:r>
          </w:p>
          <w:p w14:paraId="31062705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3671AE" w14:paraId="6EB52D92" w14:textId="77777777" w:rsidTr="006A501E">
        <w:trPr>
          <w:trHeight w:val="642"/>
        </w:trPr>
        <w:tc>
          <w:tcPr>
            <w:tcW w:w="2660" w:type="dxa"/>
          </w:tcPr>
          <w:p w14:paraId="11F9BA69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Action carried out to: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4710059" w14:textId="77777777" w:rsidR="003671AE" w:rsidRPr="00E34779" w:rsidRDefault="003671AE" w:rsidP="006A501E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6E2724A1" w14:textId="77777777" w:rsidR="003671AE" w:rsidRPr="009F709A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3671AE" w14:paraId="69AE0809" w14:textId="77777777" w:rsidTr="006A501E">
        <w:trPr>
          <w:trHeight w:val="856"/>
        </w:trPr>
        <w:tc>
          <w:tcPr>
            <w:tcW w:w="2660" w:type="dxa"/>
          </w:tcPr>
          <w:p w14:paraId="37A2284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</w:tc>
        <w:tc>
          <w:tcPr>
            <w:tcW w:w="4536" w:type="dxa"/>
          </w:tcPr>
          <w:p w14:paraId="62EF4D4E" w14:textId="45445ECB" w:rsidR="003671AE" w:rsidRPr="00034D70" w:rsidRDefault="00034D70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N/A as we do not own any land or buildings so cannot influence biodiversity in our Community Council</w:t>
            </w:r>
          </w:p>
        </w:tc>
        <w:tc>
          <w:tcPr>
            <w:tcW w:w="2131" w:type="dxa"/>
          </w:tcPr>
          <w:p w14:paraId="1175A7AB" w14:textId="50C8853C" w:rsidR="003671AE" w:rsidRPr="00F63064" w:rsidRDefault="00F63064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3064">
              <w:rPr>
                <w:rFonts w:ascii="Arial" w:hAnsi="Arial" w:cs="Arial"/>
                <w:i/>
                <w:iCs/>
                <w:sz w:val="24"/>
                <w:szCs w:val="24"/>
              </w:rPr>
              <w:t>Community Council</w:t>
            </w:r>
          </w:p>
        </w:tc>
      </w:tr>
      <w:tr w:rsidR="003671AE" w14:paraId="239AB941" w14:textId="77777777" w:rsidTr="006A501E">
        <w:trPr>
          <w:trHeight w:val="942"/>
        </w:trPr>
        <w:tc>
          <w:tcPr>
            <w:tcW w:w="2660" w:type="dxa"/>
          </w:tcPr>
          <w:p w14:paraId="547734F5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</w:tc>
        <w:tc>
          <w:tcPr>
            <w:tcW w:w="4536" w:type="dxa"/>
          </w:tcPr>
          <w:p w14:paraId="7C378639" w14:textId="6B7BDE1E" w:rsidR="003671AE" w:rsidRDefault="00034D70" w:rsidP="006A5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N/A as we do not own any land or buildings so cannot influence biodiversity in our Community Council</w:t>
            </w:r>
          </w:p>
        </w:tc>
        <w:tc>
          <w:tcPr>
            <w:tcW w:w="2131" w:type="dxa"/>
          </w:tcPr>
          <w:p w14:paraId="79253622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4BC12B1E" w14:textId="77777777" w:rsidTr="006A501E">
        <w:trPr>
          <w:trHeight w:val="562"/>
        </w:trPr>
        <w:tc>
          <w:tcPr>
            <w:tcW w:w="2660" w:type="dxa"/>
          </w:tcPr>
          <w:p w14:paraId="01C1B2AE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</w:tc>
        <w:tc>
          <w:tcPr>
            <w:tcW w:w="4536" w:type="dxa"/>
          </w:tcPr>
          <w:p w14:paraId="7EF07C4C" w14:textId="1ED72AD9" w:rsidR="003671AE" w:rsidRPr="00034D70" w:rsidRDefault="00034D70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Community Councillor who drives the motor mower to cut our Village Greens is aware of observing for any natural species and habitats as they operate the machinery.</w:t>
            </w:r>
          </w:p>
        </w:tc>
        <w:tc>
          <w:tcPr>
            <w:tcW w:w="2131" w:type="dxa"/>
          </w:tcPr>
          <w:p w14:paraId="6ADD6D90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340BF7DC" w14:textId="77777777" w:rsidTr="006A501E">
        <w:trPr>
          <w:trHeight w:val="1046"/>
        </w:trPr>
        <w:tc>
          <w:tcPr>
            <w:tcW w:w="2660" w:type="dxa"/>
          </w:tcPr>
          <w:p w14:paraId="4C9FF6D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</w:tc>
        <w:tc>
          <w:tcPr>
            <w:tcW w:w="4536" w:type="dxa"/>
          </w:tcPr>
          <w:p w14:paraId="2FCD60E3" w14:textId="63DEE33B" w:rsidR="003671AE" w:rsidRPr="00F63064" w:rsidRDefault="00F63064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When the Community Council took over maintaining the Village Greens, they were in a poor state.  We feel we have restored nature to return and allowed better grazing for the livestock who inhabit our Village</w:t>
            </w:r>
          </w:p>
        </w:tc>
        <w:tc>
          <w:tcPr>
            <w:tcW w:w="2131" w:type="dxa"/>
          </w:tcPr>
          <w:p w14:paraId="750AA294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1F46B7D6" w14:textId="77777777" w:rsidTr="006A501E">
        <w:trPr>
          <w:trHeight w:val="1001"/>
        </w:trPr>
        <w:tc>
          <w:tcPr>
            <w:tcW w:w="2660" w:type="dxa"/>
          </w:tcPr>
          <w:p w14:paraId="4A30829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lastRenderedPageBreak/>
              <w:t xml:space="preserve">-tackle negative factors: for </w:t>
            </w:r>
            <w:proofErr w:type="gramStart"/>
            <w:r w:rsidRPr="00873A3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73A37">
              <w:rPr>
                <w:rFonts w:ascii="Arial" w:hAnsi="Arial" w:cs="Arial"/>
                <w:sz w:val="24"/>
                <w:szCs w:val="24"/>
              </w:rPr>
              <w:t xml:space="preserve"> reduce pollution, use nature based solutions, address invasive species</w:t>
            </w:r>
          </w:p>
        </w:tc>
        <w:tc>
          <w:tcPr>
            <w:tcW w:w="4536" w:type="dxa"/>
          </w:tcPr>
          <w:p w14:paraId="420DF81A" w14:textId="2B5928AE" w:rsidR="003671AE" w:rsidRPr="00F63064" w:rsidRDefault="00F63064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N/A – we use no solutions on our Village Greens</w:t>
            </w:r>
          </w:p>
        </w:tc>
        <w:tc>
          <w:tcPr>
            <w:tcW w:w="2131" w:type="dxa"/>
          </w:tcPr>
          <w:p w14:paraId="2CF3C7DA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78DC8AE" w14:textId="77777777" w:rsidTr="006A501E">
        <w:trPr>
          <w:trHeight w:val="598"/>
        </w:trPr>
        <w:tc>
          <w:tcPr>
            <w:tcW w:w="2660" w:type="dxa"/>
          </w:tcPr>
          <w:p w14:paraId="770744B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-use improve and share evidence</w:t>
            </w:r>
          </w:p>
        </w:tc>
        <w:tc>
          <w:tcPr>
            <w:tcW w:w="4536" w:type="dxa"/>
          </w:tcPr>
          <w:p w14:paraId="6CE3EE41" w14:textId="7A372A2F" w:rsidR="003671AE" w:rsidRPr="00F63064" w:rsidRDefault="00F63064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2131" w:type="dxa"/>
          </w:tcPr>
          <w:p w14:paraId="7F38226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0BFEEC6" w14:textId="77777777" w:rsidTr="006A501E">
        <w:trPr>
          <w:trHeight w:val="572"/>
        </w:trPr>
        <w:tc>
          <w:tcPr>
            <w:tcW w:w="2660" w:type="dxa"/>
          </w:tcPr>
          <w:p w14:paraId="0558724A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</w:tc>
        <w:tc>
          <w:tcPr>
            <w:tcW w:w="4536" w:type="dxa"/>
          </w:tcPr>
          <w:p w14:paraId="2D252167" w14:textId="1491C0FF" w:rsidR="003671AE" w:rsidRPr="00F63064" w:rsidRDefault="00F63064" w:rsidP="006A501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2131" w:type="dxa"/>
          </w:tcPr>
          <w:p w14:paraId="047F3FD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2F4FBDE5" w14:textId="77777777" w:rsidTr="006A501E">
        <w:tc>
          <w:tcPr>
            <w:tcW w:w="9322" w:type="dxa"/>
          </w:tcPr>
          <w:p w14:paraId="7E37DE1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03974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Review of s6 duty</w:t>
            </w:r>
          </w:p>
          <w:p w14:paraId="60B8DEFF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1AE" w:rsidRPr="002D7E92" w14:paraId="0F62945D" w14:textId="77777777" w:rsidTr="006A501E">
        <w:tc>
          <w:tcPr>
            <w:tcW w:w="9322" w:type="dxa"/>
          </w:tcPr>
          <w:p w14:paraId="2134CB31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24908">
              <w:rPr>
                <w:rFonts w:ascii="Arial" w:hAnsi="Arial" w:cs="Arial"/>
                <w:sz w:val="24"/>
                <w:szCs w:val="24"/>
              </w:rPr>
              <w:t>hat has worked well?  What have the barriers been?  What will you change?</w:t>
            </w:r>
          </w:p>
          <w:p w14:paraId="6E5C200E" w14:textId="0A7D5556" w:rsidR="003671AE" w:rsidRPr="00624908" w:rsidRDefault="00F63064" w:rsidP="006A501E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Land quality has improved since we took over maintaining the grass height.  Plan to change nothing further.</w:t>
            </w:r>
          </w:p>
          <w:p w14:paraId="5F46A7D4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</w:rPr>
              <w:t>How and when will the s6 duty be monitored and the s6 plan reviewed?</w:t>
            </w:r>
          </w:p>
          <w:p w14:paraId="34A1673A" w14:textId="316DE3D3" w:rsidR="003671AE" w:rsidRPr="00F63064" w:rsidRDefault="00F63064" w:rsidP="00F63064">
            <w:pPr>
              <w:spacing w:after="160" w:line="259" w:lineRule="auto"/>
              <w:ind w:left="7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6306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Duty of the Community Council who will keep monitoring the Village Greens when cutting the grass.</w:t>
            </w:r>
          </w:p>
          <w:p w14:paraId="2F01F589" w14:textId="77777777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55DF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28023" w14:textId="77777777" w:rsidR="003671AE" w:rsidRPr="002D7E92" w:rsidRDefault="003671AE" w:rsidP="003671AE">
      <w:pPr>
        <w:rPr>
          <w:rFonts w:ascii="Arial" w:hAnsi="Arial" w:cs="Arial"/>
          <w:sz w:val="24"/>
          <w:szCs w:val="24"/>
        </w:rPr>
      </w:pPr>
    </w:p>
    <w:p w14:paraId="335A9C14" w14:textId="77777777" w:rsidR="003671AE" w:rsidRDefault="003671AE" w:rsidP="003671AE">
      <w:pPr>
        <w:rPr>
          <w:rFonts w:ascii="Arial" w:hAnsi="Arial" w:cs="Arial"/>
          <w:sz w:val="24"/>
          <w:szCs w:val="24"/>
        </w:rPr>
      </w:pPr>
    </w:p>
    <w:sectPr w:rsidR="0036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B883" w14:textId="77777777" w:rsidR="00C21433" w:rsidRDefault="00C21433" w:rsidP="002D7E92">
      <w:pPr>
        <w:spacing w:after="0" w:line="240" w:lineRule="auto"/>
      </w:pPr>
      <w:r>
        <w:separator/>
      </w:r>
    </w:p>
  </w:endnote>
  <w:endnote w:type="continuationSeparator" w:id="0">
    <w:p w14:paraId="1975380D" w14:textId="77777777" w:rsidR="00C21433" w:rsidRDefault="00C21433" w:rsidP="002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CCE4" w14:textId="77777777" w:rsidR="00C21433" w:rsidRDefault="00C21433" w:rsidP="002D7E92">
      <w:pPr>
        <w:spacing w:after="0" w:line="240" w:lineRule="auto"/>
      </w:pPr>
      <w:r>
        <w:separator/>
      </w:r>
    </w:p>
  </w:footnote>
  <w:footnote w:type="continuationSeparator" w:id="0">
    <w:p w14:paraId="033ACF6A" w14:textId="77777777" w:rsidR="00C21433" w:rsidRDefault="00C21433" w:rsidP="002D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572"/>
    <w:multiLevelType w:val="hybridMultilevel"/>
    <w:tmpl w:val="0B725B50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3843"/>
    <w:multiLevelType w:val="hybridMultilevel"/>
    <w:tmpl w:val="3BF24064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616B"/>
    <w:multiLevelType w:val="hybridMultilevel"/>
    <w:tmpl w:val="468CF8D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052A"/>
    <w:multiLevelType w:val="hybridMultilevel"/>
    <w:tmpl w:val="94C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415F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F4F"/>
    <w:multiLevelType w:val="hybridMultilevel"/>
    <w:tmpl w:val="927AFA32"/>
    <w:lvl w:ilvl="0" w:tplc="EE745C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6A"/>
    <w:multiLevelType w:val="hybridMultilevel"/>
    <w:tmpl w:val="54FCADA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3B4B"/>
    <w:multiLevelType w:val="hybridMultilevel"/>
    <w:tmpl w:val="FD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4F"/>
    <w:multiLevelType w:val="hybridMultilevel"/>
    <w:tmpl w:val="C870FDBA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6045"/>
    <w:multiLevelType w:val="hybridMultilevel"/>
    <w:tmpl w:val="29F2A3B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B324A"/>
    <w:multiLevelType w:val="hybridMultilevel"/>
    <w:tmpl w:val="7CB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DA"/>
    <w:multiLevelType w:val="hybridMultilevel"/>
    <w:tmpl w:val="678AB0BC"/>
    <w:lvl w:ilvl="0" w:tplc="35903A4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3DA9"/>
    <w:multiLevelType w:val="hybridMultilevel"/>
    <w:tmpl w:val="541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AC25C8"/>
    <w:multiLevelType w:val="hybridMultilevel"/>
    <w:tmpl w:val="5A3C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733"/>
    <w:multiLevelType w:val="hybridMultilevel"/>
    <w:tmpl w:val="B6F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D0F06"/>
    <w:multiLevelType w:val="hybridMultilevel"/>
    <w:tmpl w:val="2BB2D90C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F6B68"/>
    <w:multiLevelType w:val="hybridMultilevel"/>
    <w:tmpl w:val="634A9F5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51E5E"/>
    <w:multiLevelType w:val="hybridMultilevel"/>
    <w:tmpl w:val="403C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D9C"/>
    <w:multiLevelType w:val="hybridMultilevel"/>
    <w:tmpl w:val="6CC8C1C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A252B"/>
    <w:multiLevelType w:val="hybridMultilevel"/>
    <w:tmpl w:val="9E48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C4"/>
    <w:multiLevelType w:val="hybridMultilevel"/>
    <w:tmpl w:val="E7A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669"/>
    <w:multiLevelType w:val="hybridMultilevel"/>
    <w:tmpl w:val="CF8A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33B"/>
    <w:multiLevelType w:val="hybridMultilevel"/>
    <w:tmpl w:val="09821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1F0"/>
    <w:multiLevelType w:val="hybridMultilevel"/>
    <w:tmpl w:val="F4227886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42C2D"/>
    <w:multiLevelType w:val="hybridMultilevel"/>
    <w:tmpl w:val="02A027A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758273">
    <w:abstractNumId w:val="20"/>
  </w:num>
  <w:num w:numId="2" w16cid:durableId="1690180589">
    <w:abstractNumId w:val="13"/>
  </w:num>
  <w:num w:numId="3" w16cid:durableId="1040781506">
    <w:abstractNumId w:val="17"/>
  </w:num>
  <w:num w:numId="4" w16cid:durableId="2016374990">
    <w:abstractNumId w:val="14"/>
  </w:num>
  <w:num w:numId="5" w16cid:durableId="1542129171">
    <w:abstractNumId w:val="18"/>
  </w:num>
  <w:num w:numId="6" w16cid:durableId="621034754">
    <w:abstractNumId w:val="22"/>
  </w:num>
  <w:num w:numId="7" w16cid:durableId="1780030784">
    <w:abstractNumId w:val="21"/>
  </w:num>
  <w:num w:numId="8" w16cid:durableId="1703050919">
    <w:abstractNumId w:val="12"/>
  </w:num>
  <w:num w:numId="9" w16cid:durableId="634026373">
    <w:abstractNumId w:val="10"/>
  </w:num>
  <w:num w:numId="10" w16cid:durableId="129326261">
    <w:abstractNumId w:val="23"/>
  </w:num>
  <w:num w:numId="11" w16cid:durableId="1700013848">
    <w:abstractNumId w:val="19"/>
  </w:num>
  <w:num w:numId="12" w16cid:durableId="461777052">
    <w:abstractNumId w:val="15"/>
  </w:num>
  <w:num w:numId="13" w16cid:durableId="262346018">
    <w:abstractNumId w:val="3"/>
  </w:num>
  <w:num w:numId="14" w16cid:durableId="817722970">
    <w:abstractNumId w:val="16"/>
  </w:num>
  <w:num w:numId="15" w16cid:durableId="90055764">
    <w:abstractNumId w:val="1"/>
  </w:num>
  <w:num w:numId="16" w16cid:durableId="2136556278">
    <w:abstractNumId w:val="11"/>
  </w:num>
  <w:num w:numId="17" w16cid:durableId="1779445948">
    <w:abstractNumId w:val="7"/>
  </w:num>
  <w:num w:numId="18" w16cid:durableId="1315602178">
    <w:abstractNumId w:val="0"/>
  </w:num>
  <w:num w:numId="19" w16cid:durableId="1648051160">
    <w:abstractNumId w:val="9"/>
  </w:num>
  <w:num w:numId="20" w16cid:durableId="2098093982">
    <w:abstractNumId w:val="6"/>
  </w:num>
  <w:num w:numId="21" w16cid:durableId="1138111440">
    <w:abstractNumId w:val="24"/>
  </w:num>
  <w:num w:numId="22" w16cid:durableId="1933467516">
    <w:abstractNumId w:val="8"/>
  </w:num>
  <w:num w:numId="23" w16cid:durableId="1226140581">
    <w:abstractNumId w:val="2"/>
  </w:num>
  <w:num w:numId="24" w16cid:durableId="1120228207">
    <w:abstractNumId w:val="4"/>
  </w:num>
  <w:num w:numId="25" w16cid:durableId="888299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2"/>
    <w:rsid w:val="00016742"/>
    <w:rsid w:val="00034D70"/>
    <w:rsid w:val="002D7E92"/>
    <w:rsid w:val="00305D7E"/>
    <w:rsid w:val="00334172"/>
    <w:rsid w:val="00340FE7"/>
    <w:rsid w:val="003671AE"/>
    <w:rsid w:val="003777CE"/>
    <w:rsid w:val="003A141E"/>
    <w:rsid w:val="00404DAC"/>
    <w:rsid w:val="00590037"/>
    <w:rsid w:val="00624908"/>
    <w:rsid w:val="006A78DB"/>
    <w:rsid w:val="007E3F93"/>
    <w:rsid w:val="00873A37"/>
    <w:rsid w:val="008E72A3"/>
    <w:rsid w:val="009C56C7"/>
    <w:rsid w:val="009F709A"/>
    <w:rsid w:val="00AA219C"/>
    <w:rsid w:val="00BC07EF"/>
    <w:rsid w:val="00C21433"/>
    <w:rsid w:val="00C645DE"/>
    <w:rsid w:val="00CA4D14"/>
    <w:rsid w:val="00CC0900"/>
    <w:rsid w:val="00D06BB7"/>
    <w:rsid w:val="00D20325"/>
    <w:rsid w:val="00D673D9"/>
    <w:rsid w:val="00E31AF6"/>
    <w:rsid w:val="00E939A2"/>
    <w:rsid w:val="00F63064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637CA"/>
  <w15:docId w15:val="{7B914CCD-A3B2-4C55-892E-E0493B8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A28009317</value>
    </field>
    <field name="Objective-Title">
      <value order="0">Reporting template for T&amp;CCs - ENG</value>
    </field>
    <field name="Objective-Description">
      <value order="0"/>
    </field>
    <field name="Objective-CreationStamp">
      <value order="0">2019-11-04T15:50:40Z</value>
    </field>
    <field name="Objective-IsApproved">
      <value order="0">false</value>
    </field>
    <field name="Objective-IsPublished">
      <value order="0">true</value>
    </field>
    <field name="Objective-DatePublished">
      <value order="0">2022-04-12T10:15:32Z</value>
    </field>
    <field name="Objective-ModificationStamp">
      <value order="0">2022-04-12T10:15:32Z</value>
    </field>
    <field name="Objective-Owner">
      <value order="0">Le Roux, Caryn (CCRA - ERA - Marine and Fisheries)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</value>
    </field>
    <field name="Objective-Parent">
      <value order="0">Town and Community Councils - reporting guidance</value>
    </field>
    <field name="Objective-State">
      <value order="0">Published</value>
    </field>
    <field name="Objective-VersionId">
      <value order="0">vA77416817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2019-11-03T23:00:00Z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Paul Sizer</cp:lastModifiedBy>
  <cp:revision>2</cp:revision>
  <cp:lastPrinted>2022-04-12T10:06:00Z</cp:lastPrinted>
  <dcterms:created xsi:type="dcterms:W3CDTF">2023-03-16T11:21:00Z</dcterms:created>
  <dcterms:modified xsi:type="dcterms:W3CDTF">2023-03-16T11:21:00Z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A28009317</vt:lpwstr>
  </property>
  <property fmtid="{D5CDD505-2E9C-101B-9397-08002B2CF9AE}" pid="4" name="Objective-Title">
    <vt:lpwstr>Reporting template for T&amp;CCs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2019-11-04T15:50:55Z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2022-04-12T10:15:32Z</vt:filetime>
  </property>
  <property fmtid="{D5CDD505-2E9C-101B-9397-08002B2CF9AE}" pid="10" name="Objective-ModificationStamp">
    <vt:filetime>2022-04-12T10:15:32Z</vt:filetime>
  </property>
  <property fmtid="{D5CDD505-2E9C-101B-9397-08002B2CF9AE}" pid="11" name="Objective-Owner">
    <vt:lpwstr>Le Roux, Caryn (CCRA - ERA - Marine and Fisheries)</vt:lpwstr>
  </property>
  <property fmtid="{D5CDD505-2E9C-101B-9397-08002B2CF9AE}" pid="12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guidance:</vt:lpwstr>
  </property>
  <property fmtid="{D5CDD505-2E9C-101B-9397-08002B2CF9AE}" pid="13" name="Objective-Parent">
    <vt:lpwstr>Town and Community Councils - reporting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vA77416817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